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A5C" w:rsidRPr="000E1F9D" w:rsidRDefault="00DA3A5C" w:rsidP="00DA3A5C">
      <w:pPr>
        <w:jc w:val="right"/>
        <w:rPr>
          <w:b/>
          <w:sz w:val="20"/>
          <w:szCs w:val="20"/>
          <w:lang w:val="en-US"/>
        </w:rPr>
      </w:pPr>
      <w:proofErr w:type="spellStart"/>
      <w:r w:rsidRPr="000E1F9D">
        <w:rPr>
          <w:b/>
          <w:sz w:val="20"/>
          <w:szCs w:val="20"/>
          <w:lang w:val="en-US"/>
        </w:rPr>
        <w:t>Lun</w:t>
      </w:r>
      <w:proofErr w:type="spellEnd"/>
      <w:r w:rsidRPr="000E1F9D">
        <w:rPr>
          <w:b/>
          <w:sz w:val="20"/>
          <w:szCs w:val="20"/>
          <w:lang w:val="en-US"/>
        </w:rPr>
        <w:t xml:space="preserve">. XIII </w:t>
      </w:r>
      <w:proofErr w:type="spellStart"/>
      <w:r w:rsidRPr="000E1F9D">
        <w:rPr>
          <w:b/>
          <w:sz w:val="20"/>
          <w:szCs w:val="20"/>
          <w:lang w:val="en-US"/>
        </w:rPr>
        <w:t>sett</w:t>
      </w:r>
      <w:proofErr w:type="spellEnd"/>
      <w:r w:rsidRPr="000E1F9D">
        <w:rPr>
          <w:b/>
          <w:sz w:val="20"/>
          <w:szCs w:val="20"/>
          <w:lang w:val="en-US"/>
        </w:rPr>
        <w:t>. TO – I</w:t>
      </w:r>
    </w:p>
    <w:p w:rsidR="00DA3A5C" w:rsidRPr="000E1F9D" w:rsidRDefault="00DA3A5C" w:rsidP="00DA3A5C">
      <w:pPr>
        <w:jc w:val="right"/>
        <w:rPr>
          <w:sz w:val="20"/>
          <w:szCs w:val="20"/>
          <w:lang w:val="en-US"/>
        </w:rPr>
      </w:pPr>
      <w:r w:rsidRPr="000E1F9D">
        <w:rPr>
          <w:sz w:val="20"/>
          <w:szCs w:val="20"/>
          <w:lang w:val="en-US"/>
        </w:rPr>
        <w:t>Gen 18,1</w:t>
      </w:r>
      <w:r w:rsidR="007C4990" w:rsidRPr="000E1F9D">
        <w:rPr>
          <w:sz w:val="20"/>
          <w:szCs w:val="20"/>
          <w:lang w:val="en-US"/>
        </w:rPr>
        <w:t>6-33 Sal 102 Mt 8,18-22</w:t>
      </w:r>
    </w:p>
    <w:p w:rsidR="007B217A" w:rsidRDefault="007C4990" w:rsidP="00DA3A5C">
      <w:pPr>
        <w:pStyle w:val="Titolo"/>
      </w:pPr>
      <w:r>
        <w:t>I morti seppelliscano i loro morti</w:t>
      </w:r>
    </w:p>
    <w:p w:rsidR="00DA3A5C" w:rsidRDefault="000E1F9D">
      <w:r>
        <w:t xml:space="preserve">Il brano del </w:t>
      </w:r>
      <w:r w:rsidRPr="000E1F9D">
        <w:rPr>
          <w:i/>
        </w:rPr>
        <w:t>Vangelo di Matteo</w:t>
      </w:r>
      <w:r>
        <w:t xml:space="preserve"> della liturgia di oggi ci presenta due insegnamenti di Gesù sulla sequela che occorre comprendere nella loro complementarietà. Essi ci mettono di fronte ad un atteggiamento di Gesù molto differente </w:t>
      </w:r>
      <w:r w:rsidR="00215376">
        <w:t>d</w:t>
      </w:r>
      <w:r>
        <w:t>a quello che noi siamo abituati a pensare e a mettere in atto nella nostra prassi ecclesiale. Infatti</w:t>
      </w:r>
      <w:r w:rsidR="00215376">
        <w:t>,</w:t>
      </w:r>
      <w:r>
        <w:t xml:space="preserve"> noi saremmo molto più decisi di Gesù nell’assecondare richieste così “generose” come quelle dei due personaggi che egli incontra nel racconto evangelico. Saremmo molto più disposti a appianare le difficoltà, ad assecondare l’entusiasmo iniziale che ha mostrare con serietà le esigenze di una sequela autentica e ben radicata.</w:t>
      </w:r>
    </w:p>
    <w:p w:rsidR="000E1F9D" w:rsidRDefault="000E1F9D">
      <w:r>
        <w:t xml:space="preserve">Ma quali sono le esigenze della sequela che il doppio incontro di Gesù fa emergere? Innanzitutto, l’incontro di Gesù con </w:t>
      </w:r>
      <w:r w:rsidRPr="00FB71FE">
        <w:rPr>
          <w:b/>
        </w:rPr>
        <w:t>uno scriba</w:t>
      </w:r>
      <w:r>
        <w:t xml:space="preserve">, un esperto conoscitore della Torah, afferma che la sequela non può fondarsi sul una decisione presa di propria iniziativa. </w:t>
      </w:r>
      <w:r w:rsidR="00FB71FE">
        <w:t xml:space="preserve">La sequela di Gesù, come emerge anche nel testo fondante della chiamata dei primi discepoli, nasce da un suo passaggio, un suo sguardo, da una sua chiamata. Nessuno può “inventarsi” di essere discepolo di Gesù. La centralità di questo </w:t>
      </w:r>
      <w:r w:rsidR="00FB71FE">
        <w:lastRenderedPageBreak/>
        <w:t xml:space="preserve">messaggio circa la sequela a proposito di questo incontro di Gesù è chiaro se pensiamo che nei vangeli è raro che qualcuno, come questo scriba, si auto-elegga discepolo. Per questo la risposta di </w:t>
      </w:r>
      <w:r w:rsidR="00215376">
        <w:t>G</w:t>
      </w:r>
      <w:r w:rsidR="00FB71FE">
        <w:t>esù sembra quasi scoraggiare, mettere in guardia dalla impossibilità di seguirlo quando tutto nasce da una auto-elezione che non passi attraverso l’esperienza di uno sguardo che precede, chiama, invia.</w:t>
      </w:r>
    </w:p>
    <w:p w:rsidR="00FB71FE" w:rsidRDefault="00FB71FE">
      <w:r>
        <w:t xml:space="preserve">Il secondo incontro di Gesù con un tale che è già </w:t>
      </w:r>
      <w:r w:rsidRPr="00FB71FE">
        <w:rPr>
          <w:b/>
        </w:rPr>
        <w:t>suo discepolo</w:t>
      </w:r>
      <w:r>
        <w:t xml:space="preserve"> (v. 21) afferma un altro aspetto decisivo della sequela: la sequela di Gesù è segnata da un</w:t>
      </w:r>
      <w:r w:rsidR="00215376">
        <w:t>’</w:t>
      </w:r>
      <w:r>
        <w:t>urgenza estrema nella risposta del chiamato. Questo è comprensibile sia per la dimensione escatologica della chiamata di Gesù, sia per una dimensione molto umana della vocazione. Tutti sappiamo che nella vita “i passaggi” importanti vanno colti al volo. Le cose importanti della vita non ritornano due volte e non è possibile farle attendere. La risposta alla chiamata del Signore richiede questa capacità di saper cogliere il suo passaggio e di ascoltare la sua voce. Per questo è così importante imparare l’arte dell’ascolto non solo della Parola, ma anche di ciò che ci viene incontro nelle vicende della vita.</w:t>
      </w:r>
    </w:p>
    <w:p w:rsidR="009938FB" w:rsidRDefault="00FB71FE" w:rsidP="009938FB">
      <w:r>
        <w:t xml:space="preserve">A questo brano, come ascolteremo domani, segue il racconto della </w:t>
      </w:r>
      <w:r w:rsidRPr="009938FB">
        <w:rPr>
          <w:b/>
        </w:rPr>
        <w:t>tempesta sedata</w:t>
      </w:r>
      <w:r>
        <w:t xml:space="preserve">, al quale già allude </w:t>
      </w:r>
      <w:r w:rsidR="00215376">
        <w:t>il comando</w:t>
      </w:r>
      <w:r>
        <w:t xml:space="preserve"> </w:t>
      </w:r>
      <w:r w:rsidR="009938FB">
        <w:t>di Gesù</w:t>
      </w:r>
      <w:r w:rsidR="00215376" w:rsidRPr="00215376">
        <w:t xml:space="preserve"> </w:t>
      </w:r>
      <w:r w:rsidR="00215376">
        <w:t>a passare all’altra riva</w:t>
      </w:r>
      <w:r w:rsidR="009938FB">
        <w:t xml:space="preserve">, </w:t>
      </w:r>
      <w:r>
        <w:t>che nel testo di o</w:t>
      </w:r>
      <w:r w:rsidR="009938FB">
        <w:t xml:space="preserve">ggi troviamo nei primi versetti. E’ una immagine molto suggestiva: il mare in tempesta diviene quasi immagine della sequela del Signore. Se non </w:t>
      </w:r>
      <w:r w:rsidR="009938FB">
        <w:lastRenderedPageBreak/>
        <w:t xml:space="preserve">è lui a chiamare e se non siamo pronti a dare una risposta immediata e </w:t>
      </w:r>
      <w:proofErr w:type="spellStart"/>
      <w:r w:rsidR="009938FB">
        <w:t>libera…</w:t>
      </w:r>
      <w:proofErr w:type="spellEnd"/>
      <w:r w:rsidR="009938FB">
        <w:t xml:space="preserve"> rischiamo di sprofondare nelle onde agitate del mare</w:t>
      </w:r>
      <w:r w:rsidR="00215376">
        <w:t xml:space="preserve"> della storia</w:t>
      </w:r>
      <w:r w:rsidR="009938FB">
        <w:t>. Se invece la nostra chiamata deriva da una risposta ad uno sguardo che si è posato su di noi e ad una voce che ci ha chiamati</w:t>
      </w:r>
      <w:r w:rsidR="00215376">
        <w:t>,</w:t>
      </w:r>
      <w:r w:rsidR="009938FB">
        <w:t xml:space="preserve"> sarà lui, al nostro grido</w:t>
      </w:r>
      <w:r w:rsidR="00215376">
        <w:t xml:space="preserve"> «Signore, salva!»</w:t>
      </w:r>
      <w:r w:rsidR="009938FB">
        <w:t>, a placare la tempesta e a cond</w:t>
      </w:r>
      <w:r w:rsidR="00215376">
        <w:t>u</w:t>
      </w:r>
      <w:r w:rsidR="009938FB">
        <w:t>rci sicuri all’altra riva.</w:t>
      </w:r>
    </w:p>
    <w:p w:rsidR="009938FB" w:rsidRDefault="009938FB" w:rsidP="009938FB"/>
    <w:p w:rsidR="009938FB" w:rsidRDefault="009938FB" w:rsidP="009938FB">
      <w:pPr>
        <w:spacing w:line="240" w:lineRule="auto"/>
        <w:jc w:val="right"/>
      </w:pPr>
      <w:r w:rsidRPr="009938FB">
        <w:rPr>
          <w:i/>
        </w:rPr>
        <w:t>Matteo Ferrari</w:t>
      </w:r>
      <w:r>
        <w:t>, monaco di Camaldoli</w:t>
      </w:r>
    </w:p>
    <w:p w:rsidR="009938FB" w:rsidRDefault="009938FB" w:rsidP="009938FB">
      <w:pPr>
        <w:spacing w:line="240" w:lineRule="auto"/>
        <w:jc w:val="right"/>
      </w:pPr>
      <w:r>
        <w:t>27 giugno 2011</w:t>
      </w:r>
    </w:p>
    <w:p w:rsidR="009938FB" w:rsidRDefault="009938FB" w:rsidP="002672E1">
      <w:pPr>
        <w:jc w:val="center"/>
      </w:pPr>
    </w:p>
    <w:sectPr w:rsidR="009938FB" w:rsidSect="00DA3A5C">
      <w:pgSz w:w="8419" w:h="11906" w:orient="landscape"/>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35261"/>
    <w:multiLevelType w:val="multilevel"/>
    <w:tmpl w:val="04100025"/>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defaultTabStop w:val="708"/>
  <w:hyphenationZone w:val="283"/>
  <w:characterSpacingControl w:val="doNotCompress"/>
  <w:printTwoOnOne/>
  <w:compat/>
  <w:rsids>
    <w:rsidRoot w:val="00DA3A5C"/>
    <w:rsid w:val="00013D34"/>
    <w:rsid w:val="000623EF"/>
    <w:rsid w:val="00066D50"/>
    <w:rsid w:val="000E1F9D"/>
    <w:rsid w:val="00123468"/>
    <w:rsid w:val="001341A2"/>
    <w:rsid w:val="001929C5"/>
    <w:rsid w:val="00215376"/>
    <w:rsid w:val="002672E1"/>
    <w:rsid w:val="00273746"/>
    <w:rsid w:val="00277426"/>
    <w:rsid w:val="002A701F"/>
    <w:rsid w:val="00346140"/>
    <w:rsid w:val="003C1D2D"/>
    <w:rsid w:val="004024D9"/>
    <w:rsid w:val="00415F44"/>
    <w:rsid w:val="00520B62"/>
    <w:rsid w:val="0053172D"/>
    <w:rsid w:val="00657951"/>
    <w:rsid w:val="00680915"/>
    <w:rsid w:val="006A7F1B"/>
    <w:rsid w:val="006C2FF4"/>
    <w:rsid w:val="006E668A"/>
    <w:rsid w:val="00756B7D"/>
    <w:rsid w:val="007B217A"/>
    <w:rsid w:val="007C4990"/>
    <w:rsid w:val="007E05A6"/>
    <w:rsid w:val="00841B92"/>
    <w:rsid w:val="00890F12"/>
    <w:rsid w:val="009500C8"/>
    <w:rsid w:val="009938FB"/>
    <w:rsid w:val="009F3B59"/>
    <w:rsid w:val="00A037A4"/>
    <w:rsid w:val="00A63C58"/>
    <w:rsid w:val="00B2075F"/>
    <w:rsid w:val="00BC168F"/>
    <w:rsid w:val="00CA0A69"/>
    <w:rsid w:val="00CD49E4"/>
    <w:rsid w:val="00D773C1"/>
    <w:rsid w:val="00D81180"/>
    <w:rsid w:val="00D961E0"/>
    <w:rsid w:val="00DA3A5C"/>
    <w:rsid w:val="00DC594E"/>
    <w:rsid w:val="00DD1354"/>
    <w:rsid w:val="00E628F7"/>
    <w:rsid w:val="00E666E3"/>
    <w:rsid w:val="00E670EA"/>
    <w:rsid w:val="00ED07FB"/>
    <w:rsid w:val="00FB71F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A7F1B"/>
    <w:pPr>
      <w:spacing w:after="0" w:line="360" w:lineRule="auto"/>
      <w:ind w:firstLine="709"/>
      <w:jc w:val="both"/>
    </w:pPr>
    <w:rPr>
      <w:sz w:val="24"/>
    </w:rPr>
  </w:style>
  <w:style w:type="paragraph" w:styleId="Titolo1">
    <w:name w:val="heading 1"/>
    <w:basedOn w:val="Normale"/>
    <w:next w:val="Normale"/>
    <w:link w:val="Titolo1Carattere"/>
    <w:uiPriority w:val="9"/>
    <w:qFormat/>
    <w:rsid w:val="006A7F1B"/>
    <w:pPr>
      <w:keepNext/>
      <w:keepLines/>
      <w:numPr>
        <w:numId w:val="9"/>
      </w:numPr>
      <w:spacing w:before="480"/>
      <w:outlineLvl w:val="0"/>
    </w:pPr>
    <w:rPr>
      <w:rFonts w:ascii="Garamond" w:eastAsiaTheme="majorEastAsia" w:hAnsi="Garamond" w:cstheme="majorBidi"/>
      <w:b/>
      <w:bCs/>
      <w:szCs w:val="24"/>
    </w:rPr>
  </w:style>
  <w:style w:type="paragraph" w:styleId="Titolo2">
    <w:name w:val="heading 2"/>
    <w:basedOn w:val="Normale"/>
    <w:next w:val="Normale"/>
    <w:link w:val="Titolo2Carattere"/>
    <w:uiPriority w:val="9"/>
    <w:unhideWhenUsed/>
    <w:qFormat/>
    <w:rsid w:val="006A7F1B"/>
    <w:pPr>
      <w:keepNext/>
      <w:keepLines/>
      <w:numPr>
        <w:ilvl w:val="1"/>
        <w:numId w:val="9"/>
      </w:numPr>
      <w:spacing w:before="200"/>
      <w:outlineLvl w:val="1"/>
    </w:pPr>
    <w:rPr>
      <w:rFonts w:asciiTheme="majorHAnsi" w:eastAsiaTheme="majorEastAsia" w:hAnsiTheme="majorHAnsi" w:cstheme="majorBidi"/>
      <w:bCs/>
      <w:i/>
      <w:szCs w:val="24"/>
    </w:rPr>
  </w:style>
  <w:style w:type="paragraph" w:styleId="Titolo3">
    <w:name w:val="heading 3"/>
    <w:basedOn w:val="Normale"/>
    <w:next w:val="Normale"/>
    <w:link w:val="Titolo3Carattere"/>
    <w:qFormat/>
    <w:rsid w:val="006E668A"/>
    <w:pPr>
      <w:keepNext/>
      <w:spacing w:line="240" w:lineRule="auto"/>
      <w:ind w:left="2124" w:firstLine="0"/>
      <w:outlineLvl w:val="2"/>
    </w:pPr>
    <w:rPr>
      <w:rFonts w:ascii="Times New Roman" w:eastAsia="Times New Roman" w:hAnsi="Times New Roman" w:cs="Times New Roman"/>
      <w:iCs/>
      <w:smallCaps/>
      <w:color w:val="FF0000"/>
      <w:sz w:val="28"/>
      <w:szCs w:val="24"/>
      <w:lang w:eastAsia="it-IT"/>
    </w:rPr>
  </w:style>
  <w:style w:type="paragraph" w:styleId="Titolo4">
    <w:name w:val="heading 4"/>
    <w:basedOn w:val="Normale"/>
    <w:next w:val="Normale"/>
    <w:link w:val="Titolo4Carattere"/>
    <w:uiPriority w:val="9"/>
    <w:semiHidden/>
    <w:unhideWhenUsed/>
    <w:qFormat/>
    <w:rsid w:val="006A7F1B"/>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6A7F1B"/>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6A7F1B"/>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6A7F1B"/>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6A7F1B"/>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semiHidden/>
    <w:unhideWhenUsed/>
    <w:qFormat/>
    <w:rsid w:val="006A7F1B"/>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A7F1B"/>
    <w:rPr>
      <w:rFonts w:ascii="Garamond" w:eastAsiaTheme="majorEastAsia" w:hAnsi="Garamond" w:cstheme="majorBidi"/>
      <w:b/>
      <w:bCs/>
      <w:sz w:val="24"/>
      <w:szCs w:val="24"/>
    </w:rPr>
  </w:style>
  <w:style w:type="paragraph" w:styleId="Titolo">
    <w:name w:val="Title"/>
    <w:basedOn w:val="Normale"/>
    <w:next w:val="Normale"/>
    <w:link w:val="TitoloCarattere"/>
    <w:uiPriority w:val="10"/>
    <w:qFormat/>
    <w:rsid w:val="00E666E3"/>
    <w:pPr>
      <w:spacing w:before="240" w:after="480"/>
      <w:ind w:firstLine="0"/>
      <w:jc w:val="center"/>
    </w:pPr>
    <w:rPr>
      <w:smallCaps/>
      <w:sz w:val="36"/>
      <w:szCs w:val="36"/>
    </w:rPr>
  </w:style>
  <w:style w:type="character" w:customStyle="1" w:styleId="TitoloCarattere">
    <w:name w:val="Titolo Carattere"/>
    <w:basedOn w:val="Carpredefinitoparagrafo"/>
    <w:link w:val="Titolo"/>
    <w:uiPriority w:val="10"/>
    <w:rsid w:val="00E666E3"/>
    <w:rPr>
      <w:smallCaps/>
      <w:sz w:val="36"/>
      <w:szCs w:val="36"/>
    </w:rPr>
  </w:style>
  <w:style w:type="paragraph" w:styleId="Sottotitolo">
    <w:name w:val="Subtitle"/>
    <w:basedOn w:val="Normale"/>
    <w:next w:val="Normale"/>
    <w:link w:val="SottotitoloCarattere"/>
    <w:uiPriority w:val="11"/>
    <w:qFormat/>
    <w:rsid w:val="00066D50"/>
    <w:pPr>
      <w:numPr>
        <w:ilvl w:val="1"/>
      </w:numPr>
      <w:spacing w:after="240"/>
      <w:ind w:firstLine="709"/>
      <w:contextualSpacing/>
      <w:jc w:val="center"/>
    </w:pPr>
    <w:rPr>
      <w:rFonts w:asciiTheme="majorHAnsi" w:eastAsiaTheme="majorEastAsia" w:hAnsiTheme="majorHAnsi" w:cstheme="majorBidi"/>
      <w:i/>
      <w:iCs/>
      <w:spacing w:val="15"/>
      <w:szCs w:val="24"/>
    </w:rPr>
  </w:style>
  <w:style w:type="character" w:customStyle="1" w:styleId="SottotitoloCarattere">
    <w:name w:val="Sottotitolo Carattere"/>
    <w:basedOn w:val="Carpredefinitoparagrafo"/>
    <w:link w:val="Sottotitolo"/>
    <w:uiPriority w:val="11"/>
    <w:rsid w:val="00066D50"/>
    <w:rPr>
      <w:rFonts w:asciiTheme="majorHAnsi" w:eastAsiaTheme="majorEastAsia" w:hAnsiTheme="majorHAnsi" w:cstheme="majorBidi"/>
      <w:i/>
      <w:iCs/>
      <w:spacing w:val="15"/>
      <w:sz w:val="24"/>
      <w:szCs w:val="24"/>
    </w:rPr>
  </w:style>
  <w:style w:type="paragraph" w:styleId="Paragrafoelenco">
    <w:name w:val="List Paragraph"/>
    <w:basedOn w:val="Normale"/>
    <w:uiPriority w:val="34"/>
    <w:qFormat/>
    <w:rsid w:val="006A7F1B"/>
    <w:pPr>
      <w:ind w:left="720"/>
      <w:contextualSpacing/>
    </w:pPr>
  </w:style>
  <w:style w:type="paragraph" w:styleId="Citazione">
    <w:name w:val="Quote"/>
    <w:basedOn w:val="Normale"/>
    <w:next w:val="Normale"/>
    <w:link w:val="CitazioneCarattere"/>
    <w:uiPriority w:val="29"/>
    <w:qFormat/>
    <w:rsid w:val="006A7F1B"/>
    <w:pPr>
      <w:spacing w:before="240" w:after="240"/>
      <w:ind w:left="1134" w:right="1134"/>
      <w:contextualSpacing/>
    </w:pPr>
    <w:rPr>
      <w:rFonts w:asciiTheme="majorHAnsi" w:hAnsiTheme="majorHAnsi"/>
      <w:iCs/>
      <w:color w:val="000000" w:themeColor="text1"/>
      <w:sz w:val="22"/>
    </w:rPr>
  </w:style>
  <w:style w:type="character" w:customStyle="1" w:styleId="CitazioneCarattere">
    <w:name w:val="Citazione Carattere"/>
    <w:basedOn w:val="Carpredefinitoparagrafo"/>
    <w:link w:val="Citazione"/>
    <w:uiPriority w:val="29"/>
    <w:rsid w:val="006A7F1B"/>
    <w:rPr>
      <w:rFonts w:asciiTheme="majorHAnsi" w:hAnsiTheme="majorHAnsi"/>
      <w:iCs/>
      <w:color w:val="000000" w:themeColor="text1"/>
    </w:rPr>
  </w:style>
  <w:style w:type="character" w:customStyle="1" w:styleId="Titolo3Carattere">
    <w:name w:val="Titolo 3 Carattere"/>
    <w:basedOn w:val="Carpredefinitoparagrafo"/>
    <w:link w:val="Titolo3"/>
    <w:rsid w:val="006E668A"/>
    <w:rPr>
      <w:rFonts w:ascii="Times New Roman" w:eastAsia="Times New Roman" w:hAnsi="Times New Roman" w:cs="Times New Roman"/>
      <w:iCs/>
      <w:smallCaps/>
      <w:color w:val="FF0000"/>
      <w:sz w:val="28"/>
      <w:szCs w:val="24"/>
      <w:lang w:eastAsia="it-IT"/>
    </w:rPr>
  </w:style>
  <w:style w:type="character" w:customStyle="1" w:styleId="Titolo2Carattere">
    <w:name w:val="Titolo 2 Carattere"/>
    <w:basedOn w:val="Carpredefinitoparagrafo"/>
    <w:link w:val="Titolo2"/>
    <w:uiPriority w:val="9"/>
    <w:rsid w:val="006A7F1B"/>
    <w:rPr>
      <w:rFonts w:asciiTheme="majorHAnsi" w:eastAsiaTheme="majorEastAsia" w:hAnsiTheme="majorHAnsi" w:cstheme="majorBidi"/>
      <w:bCs/>
      <w:i/>
      <w:sz w:val="24"/>
      <w:szCs w:val="24"/>
    </w:rPr>
  </w:style>
  <w:style w:type="character" w:customStyle="1" w:styleId="Titolo4Carattere">
    <w:name w:val="Titolo 4 Carattere"/>
    <w:basedOn w:val="Carpredefinitoparagrafo"/>
    <w:link w:val="Titolo4"/>
    <w:uiPriority w:val="9"/>
    <w:semiHidden/>
    <w:rsid w:val="006A7F1B"/>
    <w:rPr>
      <w:rFonts w:asciiTheme="majorHAnsi" w:eastAsiaTheme="majorEastAsia" w:hAnsiTheme="majorHAnsi" w:cstheme="majorBidi"/>
      <w:b/>
      <w:bCs/>
      <w:i/>
      <w:iCs/>
      <w:color w:val="4F81BD" w:themeColor="accent1"/>
      <w:sz w:val="24"/>
    </w:rPr>
  </w:style>
  <w:style w:type="character" w:customStyle="1" w:styleId="Titolo5Carattere">
    <w:name w:val="Titolo 5 Carattere"/>
    <w:basedOn w:val="Carpredefinitoparagrafo"/>
    <w:link w:val="Titolo5"/>
    <w:uiPriority w:val="9"/>
    <w:semiHidden/>
    <w:rsid w:val="006A7F1B"/>
    <w:rPr>
      <w:rFonts w:asciiTheme="majorHAnsi" w:eastAsiaTheme="majorEastAsia" w:hAnsiTheme="majorHAnsi" w:cstheme="majorBidi"/>
      <w:color w:val="243F60" w:themeColor="accent1" w:themeShade="7F"/>
      <w:sz w:val="24"/>
    </w:rPr>
  </w:style>
  <w:style w:type="character" w:customStyle="1" w:styleId="Titolo6Carattere">
    <w:name w:val="Titolo 6 Carattere"/>
    <w:basedOn w:val="Carpredefinitoparagrafo"/>
    <w:link w:val="Titolo6"/>
    <w:uiPriority w:val="9"/>
    <w:semiHidden/>
    <w:rsid w:val="006A7F1B"/>
    <w:rPr>
      <w:rFonts w:asciiTheme="majorHAnsi" w:eastAsiaTheme="majorEastAsia" w:hAnsiTheme="majorHAnsi" w:cstheme="majorBidi"/>
      <w:i/>
      <w:iCs/>
      <w:color w:val="243F60" w:themeColor="accent1" w:themeShade="7F"/>
      <w:sz w:val="24"/>
    </w:rPr>
  </w:style>
  <w:style w:type="character" w:customStyle="1" w:styleId="Titolo7Carattere">
    <w:name w:val="Titolo 7 Carattere"/>
    <w:basedOn w:val="Carpredefinitoparagrafo"/>
    <w:link w:val="Titolo7"/>
    <w:uiPriority w:val="9"/>
    <w:semiHidden/>
    <w:rsid w:val="006A7F1B"/>
    <w:rPr>
      <w:rFonts w:asciiTheme="majorHAnsi" w:eastAsiaTheme="majorEastAsia" w:hAnsiTheme="majorHAnsi" w:cstheme="majorBidi"/>
      <w:i/>
      <w:iCs/>
      <w:color w:val="404040" w:themeColor="text1" w:themeTint="BF"/>
      <w:sz w:val="24"/>
    </w:rPr>
  </w:style>
  <w:style w:type="character" w:customStyle="1" w:styleId="Titolo8Carattere">
    <w:name w:val="Titolo 8 Carattere"/>
    <w:basedOn w:val="Carpredefinitoparagrafo"/>
    <w:link w:val="Titolo8"/>
    <w:uiPriority w:val="9"/>
    <w:semiHidden/>
    <w:rsid w:val="006A7F1B"/>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6A7F1B"/>
    <w:rPr>
      <w:rFonts w:asciiTheme="majorHAnsi" w:eastAsiaTheme="majorEastAsia" w:hAnsiTheme="majorHAnsi" w:cstheme="majorBidi"/>
      <w:i/>
      <w:iCs/>
      <w:color w:val="404040" w:themeColor="text1" w:themeTint="BF"/>
      <w:sz w:val="20"/>
      <w:szCs w:val="20"/>
    </w:rPr>
  </w:style>
  <w:style w:type="paragraph" w:styleId="Citazioneintensa">
    <w:name w:val="Intense Quote"/>
    <w:basedOn w:val="Citazione"/>
    <w:next w:val="Normale"/>
    <w:link w:val="CitazioneintensaCarattere"/>
    <w:uiPriority w:val="30"/>
    <w:qFormat/>
    <w:rsid w:val="006A7F1B"/>
    <w:pPr>
      <w:spacing w:before="200" w:after="280"/>
      <w:ind w:left="936" w:right="936"/>
    </w:pPr>
    <w:rPr>
      <w:rFonts w:asciiTheme="minorHAnsi" w:hAnsiTheme="minorHAnsi"/>
      <w:bCs/>
      <w:i/>
      <w:iCs w:val="0"/>
      <w:color w:val="auto"/>
    </w:rPr>
  </w:style>
  <w:style w:type="character" w:customStyle="1" w:styleId="CitazioneintensaCarattere">
    <w:name w:val="Citazione intensa Carattere"/>
    <w:basedOn w:val="Carpredefinitoparagrafo"/>
    <w:link w:val="Citazioneintensa"/>
    <w:uiPriority w:val="30"/>
    <w:rsid w:val="006A7F1B"/>
    <w:rPr>
      <w:bCs/>
      <w:i/>
    </w:rPr>
  </w:style>
  <w:style w:type="paragraph" w:styleId="Testofumetto">
    <w:name w:val="Balloon Text"/>
    <w:basedOn w:val="Normale"/>
    <w:link w:val="TestofumettoCarattere"/>
    <w:uiPriority w:val="99"/>
    <w:semiHidden/>
    <w:unhideWhenUsed/>
    <w:rsid w:val="00415F44"/>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15F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zato 1">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3</Pages>
  <Words>469</Words>
  <Characters>2678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Utente Windows</cp:lastModifiedBy>
  <cp:revision>10</cp:revision>
  <cp:lastPrinted>2011-06-27T15:41:00Z</cp:lastPrinted>
  <dcterms:created xsi:type="dcterms:W3CDTF">2011-06-27T10:07:00Z</dcterms:created>
  <dcterms:modified xsi:type="dcterms:W3CDTF">2011-06-27T16:09:00Z</dcterms:modified>
</cp:coreProperties>
</file>