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DBC5" w14:textId="77777777" w:rsidR="00EC54DD" w:rsidRPr="00EC54DD" w:rsidRDefault="00EC54DD" w:rsidP="00EC54DD">
      <w:pPr>
        <w:spacing w:before="240" w:after="60" w:line="240" w:lineRule="auto"/>
        <w:jc w:val="center"/>
        <w:outlineLvl w:val="0"/>
        <w:rPr>
          <w:rFonts w:ascii="Garamond" w:eastAsia="Times New Roman" w:hAnsi="Garamond" w:cs="Arial"/>
          <w:b/>
          <w:bCs/>
          <w:color w:val="FF0000"/>
          <w:kern w:val="28"/>
          <w:sz w:val="24"/>
          <w:szCs w:val="24"/>
          <w:lang w:val="en-US" w:eastAsia="it-IT"/>
        </w:rPr>
      </w:pPr>
      <w:r w:rsidRPr="00EC54DD">
        <w:rPr>
          <w:rFonts w:ascii="Garamond" w:eastAsia="Times New Roman" w:hAnsi="Garamond" w:cs="Arial"/>
          <w:b/>
          <w:bCs/>
          <w:color w:val="FF0000"/>
          <w:kern w:val="28"/>
          <w:sz w:val="24"/>
          <w:szCs w:val="24"/>
          <w:lang w:val="en-US" w:eastAsia="it-IT"/>
        </w:rPr>
        <w:t>III DOMENICA - B</w:t>
      </w:r>
    </w:p>
    <w:p w14:paraId="0C10F36E" w14:textId="77777777" w:rsidR="00EC54DD" w:rsidRPr="00EC54DD" w:rsidRDefault="00EC54DD" w:rsidP="00EC54DD">
      <w:pPr>
        <w:spacing w:after="0" w:line="240" w:lineRule="auto"/>
        <w:jc w:val="both"/>
        <w:rPr>
          <w:rFonts w:ascii="Garamond" w:eastAsia="Times New Roman" w:hAnsi="Garamond" w:cs="Times New Roman"/>
          <w:sz w:val="24"/>
          <w:szCs w:val="24"/>
          <w:lang w:val="en-US" w:bidi="he-IL"/>
        </w:rPr>
      </w:pPr>
    </w:p>
    <w:p w14:paraId="01578BCC" w14:textId="77777777" w:rsidR="00EC54DD" w:rsidRPr="00EC54DD" w:rsidRDefault="00EC54DD" w:rsidP="00EC54DD">
      <w:pPr>
        <w:spacing w:after="0" w:line="240" w:lineRule="auto"/>
        <w:jc w:val="both"/>
        <w:rPr>
          <w:rFonts w:ascii="Garamond" w:eastAsia="Times New Roman" w:hAnsi="Garamond" w:cs="Times New Roman"/>
          <w:sz w:val="24"/>
          <w:szCs w:val="24"/>
          <w:lang w:val="en-US" w:bidi="he-IL"/>
        </w:rPr>
      </w:pPr>
      <w:r w:rsidRPr="00EC54DD">
        <w:rPr>
          <w:rFonts w:ascii="Garamond" w:eastAsia="Times New Roman" w:hAnsi="Garamond" w:cs="Times New Roman"/>
          <w:sz w:val="24"/>
          <w:szCs w:val="24"/>
          <w:lang w:val="en-US" w:bidi="he-IL"/>
        </w:rPr>
        <w:t>At 3,13-15.17-19; Sal 4</w:t>
      </w:r>
    </w:p>
    <w:p w14:paraId="169AB381"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1 Gv 2,1-5a;</w:t>
      </w:r>
    </w:p>
    <w:p w14:paraId="47E51DA7"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Lc 24,35-48</w:t>
      </w:r>
    </w:p>
    <w:p w14:paraId="3BAF6114"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p>
    <w:p w14:paraId="522C107C" w14:textId="77777777" w:rsidR="00EC54DD" w:rsidRPr="00EC54DD" w:rsidRDefault="00EC54DD" w:rsidP="00EC54DD">
      <w:pPr>
        <w:spacing w:after="0" w:line="240" w:lineRule="auto"/>
        <w:jc w:val="both"/>
        <w:rPr>
          <w:rFonts w:ascii="Garamond" w:eastAsia="Times New Roman" w:hAnsi="Garamond" w:cs="Times New Roman"/>
          <w:b/>
          <w:bCs/>
          <w:sz w:val="24"/>
          <w:szCs w:val="24"/>
          <w:lang w:bidi="he-IL"/>
        </w:rPr>
      </w:pPr>
      <w:r w:rsidRPr="00EC54DD">
        <w:rPr>
          <w:rFonts w:ascii="Garamond" w:eastAsia="Times New Roman" w:hAnsi="Garamond" w:cs="Times New Roman"/>
          <w:b/>
          <w:bCs/>
          <w:sz w:val="24"/>
          <w:szCs w:val="24"/>
          <w:lang w:bidi="he-IL"/>
        </w:rPr>
        <w:t>Introduzione</w:t>
      </w:r>
    </w:p>
    <w:p w14:paraId="7F81452D"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Al centro della III Domenica del Tempo di Pasqua troviamo ancora una apparizione del Risorto. È l’apparizione del Risorto a Gerusalemme, la sera del primo giorno dopo il sabato, nel Vangelo di Luca (Lc 24,35-48). Nella prima lettura degli Atti degli Apostoli (At 3,13-15.17-19), la liturgia riporta un passaggio del discorso di Pietro nel Tempio seguito alla guarigione del paralitico. Nella seconda lettura (1 Gv 2,1-5a) il testo della Prima Lettera di Giovanni, che caratterizza il ciclo B, applica alla vita dei credenti il perdono dei peccati che si è realizzato nella morte di Cristo.</w:t>
      </w:r>
    </w:p>
    <w:p w14:paraId="1D47D147"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p>
    <w:p w14:paraId="67344311" w14:textId="77777777" w:rsidR="00EC54DD" w:rsidRPr="00EC54DD" w:rsidRDefault="00EC54DD" w:rsidP="00EC54DD">
      <w:pPr>
        <w:spacing w:after="0" w:line="240" w:lineRule="auto"/>
        <w:jc w:val="both"/>
        <w:rPr>
          <w:rFonts w:ascii="Garamond" w:eastAsia="Times New Roman" w:hAnsi="Garamond" w:cs="Times New Roman"/>
          <w:b/>
          <w:bCs/>
          <w:sz w:val="24"/>
          <w:szCs w:val="24"/>
          <w:lang w:bidi="he-IL"/>
        </w:rPr>
      </w:pPr>
      <w:r w:rsidRPr="00EC54DD">
        <w:rPr>
          <w:rFonts w:ascii="Garamond" w:eastAsia="Times New Roman" w:hAnsi="Garamond" w:cs="Times New Roman"/>
          <w:b/>
          <w:bCs/>
          <w:sz w:val="24"/>
          <w:szCs w:val="24"/>
          <w:lang w:bidi="he-IL"/>
        </w:rPr>
        <w:t>Commento</w:t>
      </w:r>
    </w:p>
    <w:p w14:paraId="5AFDDECE"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Nel brano evangelico, che possiamo vedere in continuità e in parallelo con il Vangelo della domenica precedente, il Risorto appare agli Undici la sera del primo giorno dopo il sabato al ritorno dei discepoli di Emmaus, che narrano il loro incontro con il Signore e il suo riconoscimento allo spezzare il pane. Il testo si può suddividere in due parti: nella prima parte la preoccupazione principale sembra quella di dimostrare la verità della Risurrezione; nella seconda parte invece il medesimo evento è visto come parte della storia della salvezza e compimento delle Scritture.</w:t>
      </w:r>
    </w:p>
    <w:p w14:paraId="585979CC"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La prima parte del testo (Lc 24,36-43) sembra voler affermare innanzitutto la realtà della risurrezione di Gesù. Davanti al Signore che si manifesta loro, il testo afferma che sorgono nel cuore dei discepoli delle «discussioni». Si usa una terminologia che lascia pensare all’incredulità, all’incapacità di accogliere la verità dell’evento narrato. Di fatto dobbiamo riconoscerlo che l’evento della risurrezione del Signore è per i discepoli di ogni tempo un evento che suscita nel cuore pensieri e dubbi. È forse l’elemento che maggiormente mette il credente davanti alla serietà della scelta di fede in Gesù come Figlio di Dio e Signore. Il testo di Luca vuole sottolineare con forza la realtà della presenza del Signore risorto nella Chiesa radunata. Non è possibile l’esistenza delle comunità cristiane se non si afferma che la risurrezione di Gesù è un fatto reale. Nello stesso tempo però l’Evangelista richiama il collegamento con la passione. Sono i segni della passione a creare il collegamento tra il Gesù che è vissuto e ha camminato con i suoi discepoli e il Risorto che ora è presente in mezzo a loro. È fondamentale e permanente collegamento tra la passione e la gloria della risurrezione.</w:t>
      </w:r>
    </w:p>
    <w:p w14:paraId="7BA275B3"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La seconda parte del brano evangelico (Lc 24,44-49) colloca la passione e la risurrezione di Gesù nel piano salvifico di Dio, testimoniato nelle Scritture ebraiche. Qui emerge un altro elemento molto importante, già presente nel brano precedente di Emmaus, ma ora esplicitato in questo racconto. Per riconoscere il Risorto, per coglierne la sua presenza nella vita della Chiesa occorrono le Scritture. Già nel brano di Emmaus, il misterioso viandante rimprovera i due discepoli di essere «stolti e lenti di cuore a credere in tutto ciò che hanno detto i profeti!» (Lc 24,25). Ora il Risorto afferma: «Sono queste le parole che io vi dissi quando ero ancora con voi: bisogna che si compiano tutte le cose scritte su di me nella legge di Mosè, nei Profeti e nei Salmi». Facendo riferimento al ministero passato con i suoi discepoli - «quando ero ancora con voi» - il Risorto afferma che tutta le Scritture parlano di lui, annunciando così un principio ermeneutico fondamentale della lettura cristiana della Bibbia.</w:t>
      </w:r>
    </w:p>
    <w:p w14:paraId="228A5821"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Ma il testo afferma anche che il Risorto non afferma solamente che era necessario si compiessero tutte le cose dette di lui nelle tre parti del canone ebraico delle Scritture – Torah/Legge, Profeti e Scritti/Salmi – ma che l’apertura della mente alla comprensione delle Scritture è un dono del Risorto. Se sono le Scritture a condurre all’incontro con il Risorto, d’altra parte è il Signore che dona ai suoi discepoli una rinnovata comprensione delle Scritture a partire dall’evento della sua Pasqua. Croce e risurrezione diventano chiave interpretativa delle Scritture, ma anche chiave interpretativa della storia e suo centro. Se sapranno leggere gli eventi della morte e risurrezione di Gesù alla luce delle Scritture potranno essere testimoni nel mondo, così come ci mostra la prima lettura.</w:t>
      </w:r>
    </w:p>
    <w:p w14:paraId="3063A675"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lastRenderedPageBreak/>
        <w:t>Nel discorso di Pietro troviamo l’annuncio della Risurrezione del Signore nel Tempio a Gerusalemme. È appena avvenuta la guarigione del paralitico e i presenti possono pensare che sia stato un atto magico di Pietro a compiere quel prodigio. Nel suo discorso Pietro dichiara subito che ciò che è accaduto non è dovuto a lui, ma a quel Gesù che è stato crocifisso (cf. At 3,12). Se nel Vangelo sono le Scritture a rendere testimonianza della morte e risurrezione di Gesù, qui sono i suoi discepoli ad annunciare la Pasqua a partire dalle loro opere. La vita dei discepoli diventa occasione, non per attirare l’attenzione su di sé, ma per annunciare che ciò che si realizza nella loro vita è frutto della presenza del Risorto. Da questo annuncio nasce la possibilità di proclamare la conversione e il perdono che attraverso il Risorto può ora raggiungere tutti. È il modo di agire della Chiesa chiamata a testimoniare non la propria potenza, ma quella del Signore Risorto e Vivente.</w:t>
      </w:r>
    </w:p>
    <w:p w14:paraId="79F5A061"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p>
    <w:p w14:paraId="5F16AD2F" w14:textId="77777777" w:rsidR="00EC54DD" w:rsidRPr="00EC54DD" w:rsidRDefault="00EC54DD" w:rsidP="00EC54DD">
      <w:pPr>
        <w:spacing w:after="0" w:line="240" w:lineRule="auto"/>
        <w:jc w:val="both"/>
        <w:rPr>
          <w:rFonts w:ascii="Garamond" w:eastAsia="Times New Roman" w:hAnsi="Garamond" w:cs="Times New Roman"/>
          <w:b/>
          <w:bCs/>
          <w:sz w:val="24"/>
          <w:szCs w:val="24"/>
          <w:lang w:bidi="he-IL"/>
        </w:rPr>
      </w:pPr>
      <w:r w:rsidRPr="00EC54DD">
        <w:rPr>
          <w:rFonts w:ascii="Garamond" w:eastAsia="Times New Roman" w:hAnsi="Garamond" w:cs="Times New Roman"/>
          <w:b/>
          <w:bCs/>
          <w:sz w:val="24"/>
          <w:szCs w:val="24"/>
          <w:lang w:bidi="he-IL"/>
        </w:rPr>
        <w:t>Conclusione</w:t>
      </w:r>
    </w:p>
    <w:p w14:paraId="03FEDF56"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 xml:space="preserve">Il tema del </w:t>
      </w:r>
      <w:proofErr w:type="gramStart"/>
      <w:r w:rsidRPr="00EC54DD">
        <w:rPr>
          <w:rFonts w:ascii="Garamond" w:eastAsia="Times New Roman" w:hAnsi="Garamond" w:cs="Times New Roman"/>
          <w:sz w:val="24"/>
          <w:szCs w:val="24"/>
          <w:lang w:bidi="he-IL"/>
        </w:rPr>
        <w:t>perdono infine</w:t>
      </w:r>
      <w:proofErr w:type="gramEnd"/>
      <w:r w:rsidRPr="00EC54DD">
        <w:rPr>
          <w:rFonts w:ascii="Garamond" w:eastAsia="Times New Roman" w:hAnsi="Garamond" w:cs="Times New Roman"/>
          <w:sz w:val="24"/>
          <w:szCs w:val="24"/>
          <w:lang w:bidi="he-IL"/>
        </w:rPr>
        <w:t xml:space="preserve"> lo ritroviamo nella seconda lettura. L’annuncio di Pietro nel Tempio riguarda i credenti di ogni tempio. Infatti, Gesù è «la vittima di espiazione per i nostri peccati; non soltanto per i nostri, ma anche per quelli di tutto il mondo».</w:t>
      </w:r>
    </w:p>
    <w:p w14:paraId="63CA9200"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p>
    <w:p w14:paraId="6D4FE6D5" w14:textId="77777777" w:rsidR="00EC54DD" w:rsidRPr="00EC54DD" w:rsidRDefault="00EC54DD" w:rsidP="00EC54DD">
      <w:pPr>
        <w:spacing w:after="0" w:line="240" w:lineRule="auto"/>
        <w:jc w:val="both"/>
        <w:rPr>
          <w:rFonts w:ascii="Garamond" w:eastAsia="Times New Roman" w:hAnsi="Garamond" w:cs="Times New Roman"/>
          <w:sz w:val="24"/>
          <w:szCs w:val="24"/>
          <w:lang w:bidi="he-IL"/>
        </w:rPr>
      </w:pPr>
      <w:r w:rsidRPr="00EC54DD">
        <w:rPr>
          <w:rFonts w:ascii="Garamond" w:eastAsia="Times New Roman" w:hAnsi="Garamond" w:cs="Times New Roman"/>
          <w:sz w:val="24"/>
          <w:szCs w:val="24"/>
          <w:lang w:bidi="he-IL"/>
        </w:rPr>
        <w:t>Matteo Ferrari, monaco di Camaldoli</w:t>
      </w:r>
    </w:p>
    <w:p w14:paraId="58D7CB67" w14:textId="77777777" w:rsidR="00167A33" w:rsidRDefault="00F635A7"/>
    <w:sectPr w:rsidR="00167A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DD"/>
    <w:rsid w:val="00690FA4"/>
    <w:rsid w:val="00882D3A"/>
    <w:rsid w:val="00887CB0"/>
    <w:rsid w:val="009D4EF0"/>
    <w:rsid w:val="009E649C"/>
    <w:rsid w:val="00A00395"/>
    <w:rsid w:val="00A171D7"/>
    <w:rsid w:val="00EC54DD"/>
    <w:rsid w:val="00F1407A"/>
    <w:rsid w:val="00F635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30E7"/>
  <w15:chartTrackingRefBased/>
  <w15:docId w15:val="{CA3C6489-D615-428D-8CE9-5DC03E21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cp:revision>
  <cp:lastPrinted>2021-04-15T15:31:00Z</cp:lastPrinted>
  <dcterms:created xsi:type="dcterms:W3CDTF">2021-04-16T04:54:00Z</dcterms:created>
  <dcterms:modified xsi:type="dcterms:W3CDTF">2021-04-16T04:54:00Z</dcterms:modified>
</cp:coreProperties>
</file>